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before="0"/>
        <w:jc w:val="center"/>
      </w:pPr>
      <w:r>
        <w:rPr>
          <w:rFonts w:ascii="Arial" w:cs="Arial" w:eastAsia="Arial" w:hAnsi="Arial"/>
          <w:b/>
          <w:bCs/>
          <w:color w:val="1A2744"/>
          <w:sz w:val="52"/>
          <w:szCs w:val="52"/>
        </w:rPr>
        <w:t xml:space="preserve">NYC SNOW RESPONSE ANALYSIS</w:t>
      </w:r>
    </w:p>
    <w:p>
      <w:pPr>
        <w:spacing w:after="400" w:before="0"/>
        <w:jc w:val="center"/>
      </w:pPr>
      <w:r>
        <w:rPr>
          <w:rFonts w:ascii="Arial" w:cs="Arial" w:eastAsia="Arial" w:hAnsi="Arial"/>
          <w:b/>
          <w:bCs/>
          <w:color w:val="2563EB"/>
          <w:sz w:val="40"/>
          <w:szCs w:val="40"/>
        </w:rPr>
        <w:t xml:space="preserve">2010–2026</w:t>
      </w:r>
    </w:p>
    <w:p>
      <w:pPr>
        <w:spacing w:after="400"/>
        <w:jc w:val="center"/>
      </w:pPr>
      <w:r>
        <w:rPr>
          <w:rFonts w:ascii="Arial" w:cs="Arial" w:eastAsia="Arial" w:hAnsi="Arial"/>
          <w:color w:val="CBD5E1"/>
          <w:sz w:val="24"/>
          <w:szCs w:val="24"/>
        </w:rPr>
        <w:t xml:space="preserve">────────────────────────────────────────</w:t>
      </w:r>
    </w:p>
    <w:p>
      <w:pPr>
        <w:spacing w:after="600" w:before="0"/>
        <w:jc w:val="center"/>
      </w:pPr>
      <w:r>
        <w:rPr>
          <w:rFonts w:ascii="Arial" w:cs="Arial" w:eastAsia="Arial" w:hAnsi="Arial"/>
          <w:color w:val="475569"/>
          <w:sz w:val="24"/>
          <w:szCs w:val="24"/>
        </w:rPr>
        <w:t xml:space="preserve">A Comprehensive Multi-Source Analysis of 311 Snow Complaints, Snowstorm Severity, City Response Quality, and Socioeconomic Equity Across New York City</w:t>
      </w:r>
    </w:p>
    <w:p>
      <w:pPr>
        <w:spacing w:after="200" w:before="0"/>
        <w:jc w:val="center"/>
      </w:pPr>
      <w:r>
        <w:rPr>
          <w:rFonts w:ascii="Arial" w:cs="Arial" w:eastAsia="Arial" w:hAnsi="Arial"/>
          <w:b/>
          <w:bCs/>
          <w:color w:val="1A2744"/>
          <w:sz w:val="24"/>
          <w:szCs w:val="24"/>
        </w:rPr>
        <w:t xml:space="preserve">Prepared for the Office of the Mayor</w:t>
      </w:r>
    </w:p>
    <w:p>
      <w:pPr>
        <w:spacing w:after="400" w:before="0"/>
        <w:jc w:val="center"/>
      </w:pPr>
      <w:r>
        <w:rPr>
          <w:rFonts w:ascii="Arial" w:cs="Arial" w:eastAsia="Arial" w:hAnsi="Arial"/>
          <w:color w:val="475569"/>
          <w:sz w:val="22"/>
          <w:szCs w:val="22"/>
        </w:rPr>
        <w:t xml:space="preserve">February 2026</w:t>
      </w:r>
    </w:p>
    <w:p>
      <w:pPr>
        <w:spacing w:after="120" w:before="0"/>
        <w:jc w:val="center"/>
      </w:pPr>
      <w:r>
        <w:rPr>
          <w:rFonts w:ascii="Arial" w:cs="Arial" w:eastAsia="Arial" w:hAnsi="Arial"/>
          <w:b/>
          <w:bCs/>
          <w:color w:val="475569"/>
          <w:sz w:val="20"/>
          <w:szCs w:val="20"/>
        </w:rPr>
        <w:t xml:space="preserve">Data Sources: </w:t>
      </w:r>
      <w:r>
        <w:rPr>
          <w:rFonts w:ascii="Arial" w:cs="Arial" w:eastAsia="Arial" w:hAnsi="Arial"/>
          <w:color w:val="475569"/>
          <w:sz w:val="20"/>
          <w:szCs w:val="20"/>
        </w:rPr>
        <w:t xml:space="preserve">NYC 311 Service Requests (42.8M records) • NYC Housing Database (106K records) • US Census ACS 5-Year Estimates • Open-Meteo ERA5 Reanalysis • National Weather Service • News Archives</w:t>
      </w:r>
    </w:p>
    <w:p>
      <w:r>
        <w:br w:type="page"/>
      </w:r>
    </w:p>
    <w:p>
      <w:pPr>
        <w:spacing w:after="300" w:before="0"/>
        <w:jc w:val="left"/>
      </w:pPr>
      <w:r>
        <w:rPr>
          <w:rFonts w:ascii="Arial" w:cs="Arial" w:eastAsia="Arial" w:hAnsi="Arial"/>
          <w:b/>
          <w:bCs/>
          <w:color w:val="1A274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200"/>
      </w:pPr>
      <w:r>
        <w:rPr>
          <w:rFonts w:ascii="Arial" w:cs="Arial" w:eastAsia="Arial" w:hAnsi="Arial"/>
          <w:b/>
          <w:bCs/>
          <w:color w:val="1A2744"/>
          <w:sz w:val="36"/>
          <w:szCs w:val="36"/>
        </w:rPr>
        <w:t xml:space="preserve">Executive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center"/>
            </w:pPr>
            <w:r>
              <w:rPr>
                <w:rFonts w:ascii="Arial" w:cs="Arial" w:eastAsia="Arial" w:hAnsi="Arial"/>
                <w:b/>
                <w:bCs/>
                <w:color w:val="1E293B"/>
                <w:sz w:val="20"/>
                <w:szCs w:val="20"/>
              </w:rPr>
              <w:t xml:space="preserve">166,000+</w:t>
            </w:r>
          </w:p>
        </w:tc>
        <w:tc>
          <w:tcPr>
            <w:tcW w:type="dxa" w:w="2340"/>
            <w:tcBorders>
              <w:top w:val="single" w:color="CBD5E1" w:sz="1"/>
              <w:left w:val="single" w:color="CBD5E1" w:sz="1"/>
              <w:bottom w:val="single" w:color="CBD5E1" w:sz="1"/>
              <w:right w:val="single" w:color="CBD5E1" w:sz="1"/>
            </w:tcBorders>
            <w:shd w:fill="FEE2E2" w:val="clear"/>
            <w:tcMar>
              <w:top w:type="dxa" w:w="60"/>
              <w:left w:type="dxa" w:w="100"/>
              <w:bottom w:type="dxa" w:w="60"/>
              <w:right w:type="dxa" w:w="100"/>
            </w:tcMar>
          </w:tcPr>
          <w:p>
            <w:pPr>
              <w:jc w:val="center"/>
            </w:pPr>
            <w:r>
              <w:rPr>
                <w:rFonts w:ascii="Arial" w:cs="Arial" w:eastAsia="Arial" w:hAnsi="Arial"/>
                <w:b/>
                <w:bCs/>
                <w:color w:val="DC2626"/>
                <w:sz w:val="20"/>
                <w:szCs w:val="20"/>
              </w:rPr>
              <w:t xml:space="preserve">24,000+</w:t>
            </w:r>
          </w:p>
        </w:tc>
        <w:tc>
          <w:tcPr>
            <w:tcW w:type="dxa" w:w="234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center"/>
            </w:pPr>
            <w:r>
              <w:rPr>
                <w:rFonts w:ascii="Arial" w:cs="Arial" w:eastAsia="Arial" w:hAnsi="Arial"/>
                <w:b/>
                <w:bCs/>
                <w:color w:val="1E293B"/>
                <w:sz w:val="20"/>
                <w:szCs w:val="20"/>
              </w:rPr>
              <w:t xml:space="preserve">17</w:t>
            </w:r>
          </w:p>
        </w:tc>
        <w:tc>
          <w:tcPr>
            <w:tcW w:type="dxa" w:w="2340"/>
            <w:tcBorders>
              <w:top w:val="single" w:color="CBD5E1" w:sz="1"/>
              <w:left w:val="single" w:color="CBD5E1" w:sz="1"/>
              <w:bottom w:val="single" w:color="CBD5E1" w:sz="1"/>
              <w:right w:val="single" w:color="CBD5E1" w:sz="1"/>
            </w:tcBorders>
            <w:shd w:fill="DCFCE7" w:val="clear"/>
            <w:tcMar>
              <w:top w:type="dxa" w:w="60"/>
              <w:left w:type="dxa" w:w="100"/>
              <w:bottom w:type="dxa" w:w="60"/>
              <w:right w:type="dxa" w:w="100"/>
            </w:tcMar>
          </w:tcPr>
          <w:p>
            <w:pPr>
              <w:jc w:val="center"/>
            </w:pPr>
            <w:r>
              <w:rPr>
                <w:rFonts w:ascii="Arial" w:cs="Arial" w:eastAsia="Arial" w:hAnsi="Arial"/>
                <w:b/>
                <w:bCs/>
                <w:color w:val="1E293B"/>
                <w:sz w:val="20"/>
                <w:szCs w:val="20"/>
              </w:rPr>
              <w:t xml:space="preserve">3</w:t>
            </w:r>
          </w:p>
        </w:tc>
      </w:tr>
      <w:tr>
        <w:tc>
          <w:tcPr>
            <w:tcW w:type="dxa" w:w="234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center"/>
            </w:pPr>
            <w:r>
              <w:rPr>
                <w:rFonts w:ascii="Arial" w:cs="Arial" w:eastAsia="Arial" w:hAnsi="Arial"/>
                <w:color w:val="1E293B"/>
                <w:sz w:val="20"/>
                <w:szCs w:val="20"/>
              </w:rPr>
              <w:t xml:space="preserve">Total Snow 311 Complaints</w:t>
            </w:r>
          </w:p>
        </w:tc>
        <w:tc>
          <w:tcPr>
            <w:tcW w:type="dxa" w:w="2340"/>
            <w:tcBorders>
              <w:top w:val="single" w:color="CBD5E1" w:sz="1"/>
              <w:left w:val="single" w:color="CBD5E1" w:sz="1"/>
              <w:bottom w:val="single" w:color="CBD5E1" w:sz="1"/>
              <w:right w:val="single" w:color="CBD5E1" w:sz="1"/>
            </w:tcBorders>
            <w:shd w:fill="FEE2E2" w:val="clear"/>
            <w:tcMar>
              <w:top w:type="dxa" w:w="60"/>
              <w:left w:type="dxa" w:w="100"/>
              <w:bottom w:type="dxa" w:w="60"/>
              <w:right w:type="dxa" w:w="100"/>
            </w:tcMar>
          </w:tcPr>
          <w:p>
            <w:pPr>
              <w:jc w:val="center"/>
            </w:pPr>
            <w:r>
              <w:rPr>
                <w:rFonts w:ascii="Arial" w:cs="Arial" w:eastAsia="Arial" w:hAnsi="Arial"/>
                <w:color w:val="1E293B"/>
                <w:sz w:val="20"/>
                <w:szCs w:val="20"/>
              </w:rPr>
              <w:t xml:space="preserve">Jan 2026 Complaints (RECORD)</w:t>
            </w:r>
          </w:p>
        </w:tc>
        <w:tc>
          <w:tcPr>
            <w:tcW w:type="dxa" w:w="234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center"/>
            </w:pPr>
            <w:r>
              <w:rPr>
                <w:rFonts w:ascii="Arial" w:cs="Arial" w:eastAsia="Arial" w:hAnsi="Arial"/>
                <w:color w:val="1E293B"/>
                <w:sz w:val="20"/>
                <w:szCs w:val="20"/>
              </w:rPr>
              <w:t xml:space="preserve">Major Storms Analyzed</w:t>
            </w:r>
          </w:p>
        </w:tc>
        <w:tc>
          <w:tcPr>
            <w:tcW w:type="dxa" w:w="2340"/>
            <w:tcBorders>
              <w:top w:val="single" w:color="CBD5E1" w:sz="1"/>
              <w:left w:val="single" w:color="CBD5E1" w:sz="1"/>
              <w:bottom w:val="single" w:color="CBD5E1" w:sz="1"/>
              <w:right w:val="single" w:color="CBD5E1" w:sz="1"/>
            </w:tcBorders>
            <w:shd w:fill="DCFCE7" w:val="clear"/>
            <w:tcMar>
              <w:top w:type="dxa" w:w="60"/>
              <w:left w:type="dxa" w:w="100"/>
              <w:bottom w:type="dxa" w:w="60"/>
              <w:right w:type="dxa" w:w="100"/>
            </w:tcMar>
          </w:tcPr>
          <w:p>
            <w:pPr>
              <w:jc w:val="center"/>
            </w:pPr>
            <w:r>
              <w:rPr>
                <w:rFonts w:ascii="Arial" w:cs="Arial" w:eastAsia="Arial" w:hAnsi="Arial"/>
                <w:color w:val="1E293B"/>
                <w:sz w:val="20"/>
                <w:szCs w:val="20"/>
              </w:rPr>
              <w:t xml:space="preserve">Administrations Compared</w:t>
            </w:r>
          </w:p>
        </w:tc>
      </w:tr>
    </w:tbl>
    <w:p>
      <w:pPr>
        <w:pBdr>
          <w:left w:val="single" w:color="991B1B" w:sz="12" w:space="8"/>
        </w:pBdr>
        <w:shd w:fill="FEE2E2" w:val="clear"/>
        <w:spacing w:before="120" w:after="120"/>
      </w:pPr>
      <w:r>
        <w:rPr>
          <w:rFonts w:ascii="Arial" w:cs="Arial" w:eastAsia="Arial" w:hAnsi="Arial"/>
          <w:b/>
          <w:bCs/>
          <w:color w:val="991B1B"/>
          <w:sz w:val="22"/>
          <w:szCs w:val="22"/>
        </w:rPr>
        <w:t xml:space="preserve">Critical Finding: </w:t>
      </w:r>
      <w:r>
        <w:rPr>
          <w:rFonts w:ascii="Arial" w:cs="Arial" w:eastAsia="Arial" w:hAnsi="Arial"/>
          <w:color w:val="991B1B"/>
          <w:sz w:val="22"/>
          <w:szCs w:val="22"/>
        </w:rPr>
        <w:t xml:space="preserve">January 2026 produced the highest single-month snow complaint volume in the entire 16-year dataset, with over 24,000 Snow or Ice complaints alone. This exceeds even the infamous December 2010 blizzard response under Mayor Bloomberg, which catalyzed major reforms in NYC's emergency snow operations.</w:t>
      </w:r>
    </w:p>
    <w:p>
      <w:pPr>
        <w:spacing w:after="120" w:before="0"/>
        <w:jc w:val="left"/>
      </w:pPr>
      <w:r>
        <w:rPr>
          <w:rFonts w:ascii="Arial" w:cs="Arial" w:eastAsia="Arial" w:hAnsi="Arial"/>
          <w:color w:val="1E293B"/>
          <w:sz w:val="24"/>
          <w:szCs w:val="24"/>
        </w:rPr>
        <w:t xml:space="preserve">This analysis integrates six independent data sources to provide the most comprehensive picture available of NYC's snow response capabilities, identifying patterns in complaint volume, geographic disparities, and the relationship between storm severity, socioeconomic vulnerability, and municipal response quality.</w:t>
      </w:r>
    </w:p>
    <w:p>
      <w:r>
        <w:br w:type="page"/>
      </w:r>
    </w:p>
    <w:p>
      <w:pPr>
        <w:pStyle w:val="Heading1"/>
        <w:spacing w:before="360" w:after="200"/>
      </w:pPr>
      <w:r>
        <w:rPr>
          <w:rFonts w:ascii="Arial" w:cs="Arial" w:eastAsia="Arial" w:hAnsi="Arial"/>
          <w:b/>
          <w:bCs/>
          <w:color w:val="1A2744"/>
          <w:sz w:val="36"/>
          <w:szCs w:val="36"/>
        </w:rPr>
        <w:t xml:space="preserve">Snow Complaint Trends Over Time</w:t>
      </w:r>
    </w:p>
    <w:p>
      <w:pPr>
        <w:spacing w:after="120" w:before="0"/>
        <w:jc w:val="left"/>
      </w:pPr>
      <w:r>
        <w:rPr>
          <w:rFonts w:ascii="Arial" w:cs="Arial" w:eastAsia="Arial" w:hAnsi="Arial"/>
          <w:color w:val="1E293B"/>
          <w:sz w:val="24"/>
          <w:szCs w:val="24"/>
        </w:rPr>
        <w:t xml:space="preserve">NYC's 311 system has recorded over 166,000 snow-related complaints between 2010 and early 2026. The volume fluctuates significantly year-to-year, closely tracking actual snowfall but also reflecting changes in 311 accessibility and public expectations.</w:t>
      </w:r>
    </w:p>
    <w:p>
      <w:pPr>
        <w:pStyle w:val="Heading2"/>
        <w:spacing w:before="240" w:after="160"/>
      </w:pPr>
      <w:r>
        <w:rPr>
          <w:rFonts w:ascii="Arial" w:cs="Arial" w:eastAsia="Arial" w:hAnsi="Arial"/>
          <w:b/>
          <w:bCs/>
          <w:color w:val="2563EB"/>
          <w:sz w:val="28"/>
          <w:szCs w:val="28"/>
        </w:rPr>
        <w:t xml:space="preserve">Annual Complaint Volume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3276"/>
        <w:gridCol w:w="3276"/>
      </w:tblGrid>
      <w:tr>
        <w:tc>
          <w:tcPr>
            <w:tcW w:type="dxa" w:w="2808"/>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Year</w:t>
            </w:r>
          </w:p>
        </w:tc>
        <w:tc>
          <w:tcPr>
            <w:tcW w:type="dxa" w:w="3276"/>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Snow Complaints</w:t>
            </w:r>
          </w:p>
        </w:tc>
        <w:tc>
          <w:tcPr>
            <w:tcW w:type="dxa" w:w="3276"/>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Notable Context</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13,400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Bloomberg; Dec blizzard</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2011</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12,800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Post-reform storms</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2012</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580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Minimal snowfall year</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2013</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2,650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Nemo (Feb)</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2014</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14,200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 takes office; harsh winter</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2015</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13,500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Juno storm</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2016</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6,200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Jonas (25-30"); best response</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2017</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10,500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Stella + multiple nor'easters</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2018</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5,200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Bomb cyclone + 4 nor'easters</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2019</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1,800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Very light snow year</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2020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4,200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COVID + Dec storm</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2021</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9,400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Heavy Nor'easter season</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2022</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5,800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Adams takes office; Jan storm</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2023</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350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Near-record low snowfall</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2024</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5,800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Moderate season</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2025</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val="false"/>
                <w:bCs w:val="false"/>
                <w:color w:val="1E293B"/>
                <w:sz w:val="20"/>
                <w:szCs w:val="20"/>
              </w:rPr>
              <w:t xml:space="preserve">17,500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Heavy early winter</w:t>
            </w:r>
          </w:p>
        </w:tc>
      </w:tr>
      <w:tr>
        <w:tc>
          <w:tcPr>
            <w:tcW w:type="dxa" w:w="2808"/>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2026*</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C2626"/>
                <w:sz w:val="20"/>
                <w:szCs w:val="20"/>
              </w:rPr>
              <w:t xml:space="preserve">33,500</w:t>
            </w:r>
          </w:p>
        </w:tc>
        <w:tc>
          <w:tcPr>
            <w:tcW w:type="dxa" w:w="3276"/>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RECORD (partial year, Jan only)</w:t>
            </w:r>
          </w:p>
        </w:tc>
      </w:tr>
    </w:tbl>
    <w:p>
      <w:pPr>
        <w:pStyle w:val="Heading2"/>
        <w:spacing w:before="240" w:after="160"/>
      </w:pPr>
      <w:r>
        <w:rPr>
          <w:rFonts w:ascii="Arial" w:cs="Arial" w:eastAsia="Arial" w:hAnsi="Arial"/>
          <w:b/>
          <w:bCs/>
          <w:color w:val="2563EB"/>
          <w:sz w:val="28"/>
          <w:szCs w:val="28"/>
        </w:rPr>
        <w:t xml:space="preserve">Complaint Category Evolution</w:t>
      </w:r>
    </w:p>
    <w:p>
      <w:pPr>
        <w:spacing w:after="120" w:before="0"/>
        <w:jc w:val="left"/>
      </w:pPr>
      <w:r>
        <w:rPr>
          <w:rFonts w:ascii="Arial" w:cs="Arial" w:eastAsia="Arial" w:hAnsi="Arial"/>
          <w:color w:val="1E293B"/>
          <w:sz w:val="24"/>
          <w:szCs w:val="24"/>
        </w:rPr>
        <w:t xml:space="preserve">The 311 system has renamed snow categories multiple times. The primary types used have been: 'Snow' (2010-2019), 'Snow Removal' (introduced 2019-2020), and 'Snow or Ice' (dominant from 2021+) with subcategories for Sidewalk and Roadway complaints.</w:t>
      </w:r>
    </w:p>
    <w:p>
      <w:pPr>
        <w:pBdr>
          <w:left w:val="single" w:color="92400E" w:sz="12" w:space="8"/>
        </w:pBdr>
        <w:shd w:fill="FEF3C7" w:val="clear"/>
        <w:spacing w:before="120" w:after="120"/>
      </w:pPr>
      <w:r>
        <w:rPr>
          <w:rFonts w:ascii="Arial" w:cs="Arial" w:eastAsia="Arial" w:hAnsi="Arial"/>
          <w:b/>
          <w:bCs/>
          <w:color w:val="92400E"/>
          <w:sz w:val="22"/>
          <w:szCs w:val="22"/>
        </w:rPr>
        <w:t xml:space="preserve">Key Pattern: </w:t>
      </w:r>
      <w:r>
        <w:rPr>
          <w:rFonts w:ascii="Arial" w:cs="Arial" w:eastAsia="Arial" w:hAnsi="Arial"/>
          <w:color w:val="92400E"/>
          <w:sz w:val="22"/>
          <w:szCs w:val="22"/>
        </w:rPr>
        <w:t xml:space="preserve">Snow complaint volumes closely track actual snowfall, but the ratio of complaints to snowfall inches has increased over time, suggesting either rising expectations, improved 311 accessibility (app adoption), or population growth in snow-sensitive areas.</w:t>
      </w:r>
    </w:p>
    <w:p>
      <w:r>
        <w:br w:type="page"/>
      </w:r>
    </w:p>
    <w:p>
      <w:pPr>
        <w:pStyle w:val="Heading1"/>
        <w:spacing w:before="360" w:after="200"/>
      </w:pPr>
      <w:r>
        <w:rPr>
          <w:rFonts w:ascii="Arial" w:cs="Arial" w:eastAsia="Arial" w:hAnsi="Arial"/>
          <w:b/>
          <w:bCs/>
          <w:color w:val="1A2744"/>
          <w:sz w:val="36"/>
          <w:szCs w:val="36"/>
        </w:rPr>
        <w:t xml:space="preserve">Borough-Level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000"/>
        <w:gridCol w:w="1880"/>
        <w:gridCol w:w="1880"/>
      </w:tblGrid>
      <w:tr>
        <w:tc>
          <w:tcPr>
            <w:tcW w:type="dxa" w:w="18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Borough</w:t>
            </w:r>
          </w:p>
        </w:tc>
        <w:tc>
          <w:tcPr>
            <w:tcW w:type="dxa" w:w="18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Population</w:t>
            </w:r>
          </w:p>
        </w:tc>
        <w:tc>
          <w:tcPr>
            <w:tcW w:type="dxa" w:w="20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Snow Complaints</w:t>
            </w:r>
          </w:p>
        </w:tc>
        <w:tc>
          <w:tcPr>
            <w:tcW w:type="dxa" w:w="188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Per 100K</w:t>
            </w:r>
          </w:p>
        </w:tc>
        <w:tc>
          <w:tcPr>
            <w:tcW w:type="dxa" w:w="188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Rank</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Brooklyn</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2,736,074</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~50,000</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1,827</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2nd</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Queens</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2,405,464</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~47,000</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1,954</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3rd (by total)</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Staten Island</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495,747</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~19,000</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C2626"/>
                <w:sz w:val="20"/>
                <w:szCs w:val="20"/>
              </w:rPr>
              <w:t xml:space="preserve">3,833</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C2626"/>
                <w:sz w:val="20"/>
                <w:szCs w:val="20"/>
              </w:rPr>
              <w:t xml:space="preserve">1st per capita</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Bronx</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1,472,654</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~18,000</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1,222</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4th</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Manhattan</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1,694,251</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~15,000</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885</w:t>
            </w:r>
          </w:p>
        </w:tc>
        <w:tc>
          <w:tcPr>
            <w:tcW w:type="dxa" w:w="18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5th</w:t>
            </w:r>
          </w:p>
        </w:tc>
      </w:tr>
    </w:tbl>
    <w:p>
      <w:pPr>
        <w:pBdr>
          <w:left w:val="single" w:color="991B1B" w:sz="12" w:space="8"/>
        </w:pBdr>
        <w:shd w:fill="FEE2E2" w:val="clear"/>
        <w:spacing w:before="120" w:after="120"/>
      </w:pPr>
      <w:r>
        <w:rPr>
          <w:rFonts w:ascii="Arial" w:cs="Arial" w:eastAsia="Arial" w:hAnsi="Arial"/>
          <w:b/>
          <w:bCs/>
          <w:color w:val="991B1B"/>
          <w:sz w:val="22"/>
          <w:szCs w:val="22"/>
        </w:rPr>
        <w:t xml:space="preserve">Equity Alert: </w:t>
      </w:r>
      <w:r>
        <w:rPr>
          <w:rFonts w:ascii="Arial" w:cs="Arial" w:eastAsia="Arial" w:hAnsi="Arial"/>
          <w:color w:val="991B1B"/>
          <w:sz w:val="22"/>
          <w:szCs w:val="22"/>
        </w:rPr>
        <w:t xml:space="preserve">Staten Island generates complaints at 4.3x the rate of Manhattan per capita. This island borough has the highest car dependency (77.5% drive alone), most single-family housing, and longest response distances from DSNY depots.</w:t>
      </w:r>
    </w:p>
    <w:p>
      <w:pPr>
        <w:pBdr>
          <w:left w:val="single" w:color="92400E" w:sz="12" w:space="8"/>
        </w:pBdr>
        <w:shd w:fill="FEF3C7" w:val="clear"/>
        <w:spacing w:before="120" w:after="120"/>
      </w:pPr>
      <w:r>
        <w:rPr>
          <w:rFonts w:ascii="Arial" w:cs="Arial" w:eastAsia="Arial" w:hAnsi="Arial"/>
          <w:b/>
          <w:bCs/>
          <w:color w:val="92400E"/>
          <w:sz w:val="22"/>
          <w:szCs w:val="22"/>
        </w:rPr>
        <w:t xml:space="preserve">Underreporting Concern: </w:t>
      </w:r>
      <w:r>
        <w:rPr>
          <w:rFonts w:ascii="Arial" w:cs="Arial" w:eastAsia="Arial" w:hAnsi="Arial"/>
          <w:color w:val="92400E"/>
          <w:sz w:val="22"/>
          <w:szCs w:val="22"/>
        </w:rPr>
        <w:t xml:space="preserve">The Bronx has the highest poverty rate (27.3%) AND lowest per-capita complaint rate. Research consistently shows that lower-income communities underutilize 311 due to digital access barriers, language barriers (18.2% limited English), and lower expectations of municipal responsiveness.</w:t>
      </w:r>
    </w:p>
    <w:p>
      <w:r>
        <w:br w:type="page"/>
      </w:r>
    </w:p>
    <w:p>
      <w:pPr>
        <w:pStyle w:val="Heading1"/>
        <w:spacing w:before="360" w:after="200"/>
      </w:pPr>
      <w:r>
        <w:rPr>
          <w:rFonts w:ascii="Arial" w:cs="Arial" w:eastAsia="Arial" w:hAnsi="Arial"/>
          <w:b/>
          <w:bCs/>
          <w:color w:val="1A2744"/>
          <w:sz w:val="36"/>
          <w:szCs w:val="36"/>
        </w:rPr>
        <w:t xml:space="preserve">Storm-by-Storm Analysis</w:t>
      </w:r>
    </w:p>
    <w:p>
      <w:pPr>
        <w:spacing w:after="120" w:before="0"/>
        <w:jc w:val="left"/>
      </w:pPr>
      <w:r>
        <w:rPr>
          <w:rFonts w:ascii="Arial" w:cs="Arial" w:eastAsia="Arial" w:hAnsi="Arial"/>
          <w:color w:val="1E293B"/>
          <w:sz w:val="24"/>
          <w:szCs w:val="24"/>
        </w:rPr>
        <w:t xml:space="preserve">Each major snowstorm rated on city response quality based on news coverage, official statements, and complaint volume patterns.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1200"/>
        <w:gridCol w:w="800"/>
        <w:gridCol w:w="5160"/>
      </w:tblGrid>
      <w:tr>
        <w:tc>
          <w:tcPr>
            <w:tcW w:type="dxa" w:w="12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Date</w:t>
            </w:r>
          </w:p>
        </w:tc>
        <w:tc>
          <w:tcPr>
            <w:tcW w:type="dxa" w:w="10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Snow</w:t>
            </w:r>
          </w:p>
        </w:tc>
        <w:tc>
          <w:tcPr>
            <w:tcW w:type="dxa" w:w="12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Mayor</w:t>
            </w:r>
          </w:p>
        </w:tc>
        <w:tc>
          <w:tcPr>
            <w:tcW w:type="dxa" w:w="8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Grade</w:t>
            </w:r>
          </w:p>
        </w:tc>
        <w:tc>
          <w:tcPr>
            <w:tcW w:type="dxa" w:w="516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Key Issues</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2010</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25-26"</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Bloomberg</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Heavy but managed; preceded Dec crisis</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Dec 2010</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20-24"</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Bloomberg</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C2626"/>
                <w:sz w:val="20"/>
                <w:szCs w:val="20"/>
              </w:rPr>
              <w:t xml:space="preserve">F</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Catastrophic failure; streets unplowed for days; ambulances stuck; led to major reforms</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2011</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18-19"</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Bloomberg</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Much improved after Dec 2010 reforms</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Oct 2011</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2-3"</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Bloomberg</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97706"/>
                <w:sz w:val="20"/>
                <w:szCs w:val="20"/>
              </w:rPr>
              <w:t xml:space="preserve">C</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Surprise early storm; power outages</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2013</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10-14"</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Bloomberg</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Well-prepared; travel ban proactively issued</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2014</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10-13"</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97706"/>
                <w:sz w:val="20"/>
                <w:szCs w:val="20"/>
              </w:rPr>
              <w:t xml:space="preserve">C+</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New mayor's first test; UES criticism</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2015</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10-24"</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Travel ban criticized as overreaction for some areas</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2016</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25-30"</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6A34A"/>
                <w:sz w:val="20"/>
                <w:szCs w:val="20"/>
              </w:rPr>
              <w:t xml:space="preserve">A-</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Jonas: Strong preparation; travel ban effective; quick recovery</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2017</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9-12"</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Standard response; school closure debate</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Mar 2017</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12-18"</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Stella: Good preparation; closed schools preemptively</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2018</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8-12"</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Bomb Cyclone: Extreme cold + wind; city managed roads well</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Mar 2018</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6-10"</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97706"/>
                <w:sz w:val="20"/>
                <w:szCs w:val="20"/>
              </w:rPr>
              <w:t xml:space="preserve">C+</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4th Nor'easter fatigue; some areas slow to clear</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Nov 2018</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6-8"</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C2626"/>
                <w:sz w:val="20"/>
                <w:szCs w:val="20"/>
              </w:rPr>
              <w:t xml:space="preserve">D+</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Buses stuck; commuters stranded; caught off-guard</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Dec 2020</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10-18"</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 Blasio</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97706"/>
                <w:sz w:val="20"/>
                <w:szCs w:val="20"/>
              </w:rPr>
              <w:t xml:space="preserve">C</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COVID complications; uneven borough clearing</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2022</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5-10"</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Adams</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97706"/>
                <w:sz w:val="20"/>
                <w:szCs w:val="20"/>
              </w:rPr>
              <w:t xml:space="preserve">C+</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New admin's first test; slow outer-borough clearing</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2024</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3-6"</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Adams</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2563EB"/>
                <w:sz w:val="20"/>
                <w:szCs w:val="20"/>
              </w:rPr>
              <w:t xml:space="preserve">B</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Modest storm; adequate response</w:t>
            </w:r>
          </w:p>
        </w:tc>
      </w:tr>
      <w:tr>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2026</w:t>
            </w:r>
          </w:p>
        </w:tc>
        <w:tc>
          <w:tcPr>
            <w:tcW w:type="dxa" w:w="10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Heavy</w:t>
            </w:r>
          </w:p>
        </w:tc>
        <w:tc>
          <w:tcPr>
            <w:tcW w:type="dxa" w:w="1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Adams</w:t>
            </w:r>
          </w:p>
        </w:tc>
        <w:tc>
          <w:tcPr>
            <w:tcW w:type="dxa" w:w="8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DC2626"/>
                <w:sz w:val="20"/>
                <w:szCs w:val="20"/>
              </w:rPr>
              <w:t xml:space="preserve">D</w:t>
            </w:r>
          </w:p>
        </w:tc>
        <w:tc>
          <w:tcPr>
            <w:tcW w:type="dxa" w:w="51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RECORD complaints; persistent ice; outer-borough neglect allegations</w:t>
            </w:r>
          </w:p>
        </w:tc>
      </w:tr>
    </w:tbl>
    <w:p>
      <w:r>
        <w:br w:type="page"/>
      </w:r>
    </w:p>
    <w:p>
      <w:pPr>
        <w:pStyle w:val="Heading1"/>
        <w:spacing w:before="360" w:after="200"/>
      </w:pPr>
      <w:r>
        <w:rPr>
          <w:rFonts w:ascii="Arial" w:cs="Arial" w:eastAsia="Arial" w:hAnsi="Arial"/>
          <w:b/>
          <w:bCs/>
          <w:color w:val="1A2744"/>
          <w:sz w:val="36"/>
          <w:szCs w:val="36"/>
        </w:rPr>
        <w:t xml:space="preserve">Historical Weather During Storms</w:t>
      </w:r>
    </w:p>
    <w:p>
      <w:pPr>
        <w:spacing w:after="120" w:before="0"/>
        <w:jc w:val="left"/>
      </w:pPr>
      <w:r>
        <w:rPr>
          <w:rFonts w:ascii="Arial" w:cs="Arial" w:eastAsia="Arial" w:hAnsi="Arial"/>
          <w:color w:val="1E293B"/>
          <w:sz w:val="24"/>
          <w:szCs w:val="24"/>
        </w:rPr>
        <w:t xml:space="preserve">ERA5 reanalysis data from Open-Meteo for Central Park coordinates (40.71°N, 74.01°W).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500"/>
        <w:gridCol w:w="2080"/>
        <w:gridCol w:w="2080"/>
      </w:tblGrid>
      <w:tr>
        <w:tc>
          <w:tcPr>
            <w:tcW w:type="dxa" w:w="22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Storm Date</w:t>
            </w:r>
          </w:p>
        </w:tc>
        <w:tc>
          <w:tcPr>
            <w:tcW w:type="dxa" w:w="15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Max Temp (°F)</w:t>
            </w:r>
          </w:p>
        </w:tc>
        <w:tc>
          <w:tcPr>
            <w:tcW w:type="dxa" w:w="15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Min Temp (°F)</w:t>
            </w:r>
          </w:p>
        </w:tc>
        <w:tc>
          <w:tcPr>
            <w:tcW w:type="dxa" w:w="208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Precip (mm)</w:t>
            </w:r>
          </w:p>
        </w:tc>
        <w:tc>
          <w:tcPr>
            <w:tcW w:type="dxa" w:w="208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Max Wind (km/h)</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25-26, 2010</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35.7</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27.1</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58.8</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32.7</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Dec 26-27, 2010</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29.5</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19.9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25.2</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41.3</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26-27, 2011</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33.8</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18.4</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23.2</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29.9</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8-9, 2013</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36.8</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23.9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52.8</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28.1</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2-3, 2014</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30.1</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7.9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14.0</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28.8</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26-27, 2015</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26.4</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18.2</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17.9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26.3</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22-24, 2016</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29.5</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15.9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45.3</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37.7</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9, 2017</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43.7</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13.5</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23.5</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36.6</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Mar 14, 2017</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32.4</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17.5</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47.4</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49.8</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4, 2018</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24.6</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6.9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20.1</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52.4</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Mar 21, 2018</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43.1</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32.0</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27.3</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27.7</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Nov 15, 2018</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43.1</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29.7</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32.1</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42.9</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Dec 16-17, 2020</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33.3</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24.2</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30.2</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43.2</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Jan 29, 2022</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30.6</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7.7</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19.8</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43.9</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Feb 12-13, 2024</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48.5</w:t>
            </w:r>
          </w:p>
        </w:tc>
        <w:tc>
          <w:tcPr>
            <w:tcW w:type="dxa" w:w="15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28.9</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27.8</w:t>
            </w:r>
          </w:p>
        </w:tc>
        <w:tc>
          <w:tcPr>
            <w:tcW w:type="dxa" w:w="208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25.6</w:t>
            </w:r>
          </w:p>
        </w:tc>
      </w:tr>
    </w:tbl>
    <w:p>
      <w:pPr>
        <w:pBdr>
          <w:left w:val="single" w:color="92400E" w:sz="12" w:space="8"/>
        </w:pBdr>
        <w:shd w:fill="FEF3C7" w:val="clear"/>
        <w:spacing w:before="120" w:after="120"/>
      </w:pPr>
      <w:r>
        <w:rPr>
          <w:rFonts w:ascii="Arial" w:cs="Arial" w:eastAsia="Arial" w:hAnsi="Arial"/>
          <w:b/>
          <w:bCs/>
          <w:color w:val="92400E"/>
          <w:sz w:val="22"/>
          <w:szCs w:val="22"/>
        </w:rPr>
        <w:t xml:space="preserve">Weather-Response Correlation: </w:t>
      </w:r>
      <w:r>
        <w:rPr>
          <w:rFonts w:ascii="Arial" w:cs="Arial" w:eastAsia="Arial" w:hAnsi="Arial"/>
          <w:color w:val="92400E"/>
          <w:sz w:val="22"/>
          <w:szCs w:val="22"/>
        </w:rPr>
        <w:t xml:space="preserve">The heaviest precipitation events (Feb 2010: 58.8mm, Feb 2013: 52.8mm, Mar 2017: 47.4mm) generally correlate with the highest response grades, likely because major forecasted storms trigger pre-deployment. The worst response failures (Dec 2010, Nov 2018) often involve storms that arrived with less warning or unusual timing.</w:t>
      </w:r>
    </w:p>
    <w:p>
      <w:r>
        <w:br w:type="page"/>
      </w:r>
    </w:p>
    <w:p>
      <w:pPr>
        <w:pStyle w:val="Heading1"/>
        <w:spacing w:before="360" w:after="200"/>
      </w:pPr>
      <w:r>
        <w:rPr>
          <w:rFonts w:ascii="Arial" w:cs="Arial" w:eastAsia="Arial" w:hAnsi="Arial"/>
          <w:b/>
          <w:bCs/>
          <w:color w:val="1A2744"/>
          <w:sz w:val="36"/>
          <w:szCs w:val="36"/>
        </w:rPr>
        <w:t xml:space="preserve">Administration Comparison</w:t>
      </w:r>
    </w:p>
    <w:p>
      <w:pPr>
        <w:pStyle w:val="Heading2"/>
        <w:spacing w:before="240" w:after="160"/>
      </w:pPr>
      <w:r>
        <w:rPr>
          <w:rFonts w:ascii="Arial" w:cs="Arial" w:eastAsia="Arial" w:hAnsi="Arial"/>
          <w:b/>
          <w:bCs/>
          <w:color w:val="2563EB"/>
          <w:sz w:val="28"/>
          <w:szCs w:val="28"/>
        </w:rPr>
        <w:t xml:space="preserve">Bloomberg (2010–2013)</w:t>
      </w:r>
    </w:p>
    <w:p>
      <w:pPr>
        <w:spacing w:after="120" w:before="0"/>
        <w:jc w:val="left"/>
      </w:pPr>
      <w:r>
        <w:rPr>
          <w:rFonts w:ascii="Arial" w:cs="Arial" w:eastAsia="Arial" w:hAnsi="Arial"/>
          <w:color w:val="1E293B"/>
          <w:sz w:val="24"/>
          <w:szCs w:val="24"/>
        </w:rPr>
        <w:t xml:space="preserve">Defining moment: December 2010 blizzard failure (grade F). Streets unplowed for days in outer boroughs; ambulances could not reach emergencies. Led to sweeping DSNY reforms, GPS fleet tracking, and new snow emergency protocols.</w:t>
      </w:r>
    </w:p>
    <w:p>
      <w:pPr>
        <w:spacing w:after="120" w:before="0"/>
        <w:jc w:val="left"/>
      </w:pPr>
      <w:r>
        <w:rPr>
          <w:rFonts w:ascii="Arial" w:cs="Arial" w:eastAsia="Arial" w:hAnsi="Arial"/>
          <w:color w:val="1E293B"/>
          <w:sz w:val="24"/>
          <w:szCs w:val="24"/>
        </w:rPr>
        <w:t xml:space="preserve">Legacy: Post-crisis reforms became the foundation of modern NYC snow operations. Later storms (Nemo 2013) showed marked improvement.</w:t>
      </w:r>
    </w:p>
    <w:p>
      <w:pPr>
        <w:pStyle w:val="Heading2"/>
        <w:spacing w:before="240" w:after="160"/>
      </w:pPr>
      <w:r>
        <w:rPr>
          <w:rFonts w:ascii="Arial" w:cs="Arial" w:eastAsia="Arial" w:hAnsi="Arial"/>
          <w:b/>
          <w:bCs/>
          <w:color w:val="2563EB"/>
          <w:sz w:val="28"/>
          <w:szCs w:val="28"/>
        </w:rPr>
        <w:t xml:space="preserve">de Blasio (2014–2021)</w:t>
      </w:r>
    </w:p>
    <w:p>
      <w:pPr>
        <w:spacing w:after="120" w:before="0"/>
        <w:jc w:val="left"/>
      </w:pPr>
      <w:r>
        <w:rPr>
          <w:rFonts w:ascii="Arial" w:cs="Arial" w:eastAsia="Arial" w:hAnsi="Arial"/>
          <w:color w:val="1E293B"/>
          <w:sz w:val="24"/>
          <w:szCs w:val="24"/>
        </w:rPr>
        <w:t xml:space="preserve">Best response: Jonas (Jan 2016, grade A-) with proactive travel ban and 25-30 inches handled effectively. Worst: November 2018 early storm (grade D+) caught the city unprepared.</w:t>
      </w:r>
    </w:p>
    <w:p>
      <w:pPr>
        <w:spacing w:after="120" w:before="0"/>
        <w:jc w:val="left"/>
      </w:pPr>
      <w:r>
        <w:rPr>
          <w:rFonts w:ascii="Arial" w:cs="Arial" w:eastAsia="Arial" w:hAnsi="Arial"/>
          <w:color w:val="1E293B"/>
          <w:sz w:val="24"/>
          <w:szCs w:val="24"/>
        </w:rPr>
        <w:t xml:space="preserve">Pattern: Strong on major named storms with advance warning; vulnerable to early-season surprises and cumulative storm fatigue (Spring 2018 sequence of 4 nor’easters).</w:t>
      </w:r>
    </w:p>
    <w:p>
      <w:pPr>
        <w:pStyle w:val="Heading2"/>
        <w:spacing w:before="240" w:after="160"/>
      </w:pPr>
      <w:r>
        <w:rPr>
          <w:rFonts w:ascii="Arial" w:cs="Arial" w:eastAsia="Arial" w:hAnsi="Arial"/>
          <w:b/>
          <w:bCs/>
          <w:color w:val="2563EB"/>
          <w:sz w:val="28"/>
          <w:szCs w:val="28"/>
        </w:rPr>
        <w:t xml:space="preserve">Adams (2022–Present)</w:t>
      </w:r>
    </w:p>
    <w:p>
      <w:pPr>
        <w:spacing w:after="120" w:before="0"/>
        <w:jc w:val="left"/>
      </w:pPr>
      <w:r>
        <w:rPr>
          <w:rFonts w:ascii="Arial" w:cs="Arial" w:eastAsia="Arial" w:hAnsi="Arial"/>
          <w:color w:val="1E293B"/>
          <w:sz w:val="24"/>
          <w:szCs w:val="24"/>
        </w:rPr>
        <w:t xml:space="preserve">The 2025-26 winter season has produced record-breaking complaint volumes. January 2026 alone logged over 24,000 Snow or Ice complaints — more than some entire winters combined.</w:t>
      </w:r>
    </w:p>
    <w:p>
      <w:pPr>
        <w:pBdr>
          <w:left w:val="single" w:color="991B1B" w:sz="12" w:space="8"/>
        </w:pBdr>
        <w:shd w:fill="FEE2E2" w:val="clear"/>
        <w:spacing w:before="120" w:after="120"/>
      </w:pPr>
      <w:r>
        <w:rPr>
          <w:rFonts w:ascii="Arial" w:cs="Arial" w:eastAsia="Arial" w:hAnsi="Arial"/>
          <w:b/>
          <w:bCs/>
          <w:color w:val="991B1B"/>
          <w:sz w:val="22"/>
          <w:szCs w:val="22"/>
        </w:rPr>
        <w:t xml:space="preserve">Administration Alert: </w:t>
      </w:r>
      <w:r>
        <w:rPr>
          <w:rFonts w:ascii="Arial" w:cs="Arial" w:eastAsia="Arial" w:hAnsi="Arial"/>
          <w:color w:val="991B1B"/>
          <w:sz w:val="22"/>
          <w:szCs w:val="22"/>
        </w:rPr>
        <w:t xml:space="preserve">The Adams administration’s snow complaint-to-accumulation ratio in 2025-26 appears significantly higher than historical norms. The complaint patterns suggest systemic capacity issues rather than merely heavier snowfall. Budget pressures, DSNY staffing challenges, and aging salt/plow fleet may all be contributing factors.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Metric</w:t>
            </w:r>
          </w:p>
        </w:tc>
        <w:tc>
          <w:tcPr>
            <w:tcW w:type="dxa" w:w="312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Avg Annual Complaints</w:t>
            </w:r>
          </w:p>
        </w:tc>
        <w:tc>
          <w:tcPr>
            <w:tcW w:type="dxa" w:w="312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Peak Month</w:t>
            </w:r>
          </w:p>
        </w:tc>
      </w:tr>
      <w:tr>
        <w:tc>
          <w:tcPr>
            <w:tcW w:type="dxa" w:w="312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left"/>
            </w:pPr>
            <w:r>
              <w:rPr>
                <w:rFonts w:ascii="Arial" w:cs="Arial" w:eastAsia="Arial" w:hAnsi="Arial"/>
                <w:color w:val="1E293B"/>
                <w:sz w:val="20"/>
                <w:szCs w:val="20"/>
              </w:rPr>
              <w:t xml:space="preserve">Bloomberg (2010-13)</w:t>
            </w:r>
          </w:p>
        </w:tc>
        <w:tc>
          <w:tcPr>
            <w:tcW w:type="dxa" w:w="312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left"/>
            </w:pPr>
            <w:r>
              <w:rPr>
                <w:rFonts w:ascii="Arial" w:cs="Arial" w:eastAsia="Arial" w:hAnsi="Arial"/>
                <w:color w:val="1E293B"/>
                <w:sz w:val="20"/>
                <w:szCs w:val="20"/>
              </w:rPr>
              <w:t xml:space="preserve">7,358</w:t>
            </w:r>
          </w:p>
        </w:tc>
        <w:tc>
          <w:tcPr>
            <w:tcW w:type="dxa" w:w="3120"/>
            <w:tcBorders>
              <w:top w:val="single" w:color="CBD5E1" w:sz="1"/>
              <w:left w:val="single" w:color="CBD5E1" w:sz="1"/>
              <w:bottom w:val="single" w:color="CBD5E1" w:sz="1"/>
              <w:right w:val="single" w:color="CBD5E1" w:sz="1"/>
            </w:tcBorders>
            <w:shd w:fill="DBEAFE" w:val="clear"/>
            <w:tcMar>
              <w:top w:type="dxa" w:w="60"/>
              <w:left w:type="dxa" w:w="100"/>
              <w:bottom w:type="dxa" w:w="60"/>
              <w:right w:type="dxa" w:w="100"/>
            </w:tcMar>
          </w:tcPr>
          <w:p>
            <w:pPr>
              <w:jc w:val="left"/>
            </w:pPr>
            <w:r>
              <w:rPr>
                <w:rFonts w:ascii="Arial" w:cs="Arial" w:eastAsia="Arial" w:hAnsi="Arial"/>
                <w:color w:val="1E293B"/>
                <w:sz w:val="20"/>
                <w:szCs w:val="20"/>
              </w:rPr>
              <w:t xml:space="preserve">8,600</w:t>
            </w:r>
          </w:p>
        </w:tc>
      </w:tr>
      <w:tr>
        <w:tc>
          <w:tcPr>
            <w:tcW w:type="dxa" w:w="3120"/>
            <w:tcBorders>
              <w:top w:val="single" w:color="CBD5E1" w:sz="1"/>
              <w:left w:val="single" w:color="CBD5E1" w:sz="1"/>
              <w:bottom w:val="single" w:color="CBD5E1" w:sz="1"/>
              <w:right w:val="single" w:color="CBD5E1" w:sz="1"/>
            </w:tcBorders>
            <w:shd w:fill="FEF3C7" w:val="clear"/>
            <w:tcMar>
              <w:top w:type="dxa" w:w="60"/>
              <w:left w:type="dxa" w:w="100"/>
              <w:bottom w:type="dxa" w:w="60"/>
              <w:right w:type="dxa" w:w="100"/>
            </w:tcMar>
          </w:tcPr>
          <w:p>
            <w:pPr>
              <w:jc w:val="left"/>
            </w:pPr>
            <w:r>
              <w:rPr>
                <w:rFonts w:ascii="Arial" w:cs="Arial" w:eastAsia="Arial" w:hAnsi="Arial"/>
                <w:color w:val="1E293B"/>
                <w:sz w:val="20"/>
                <w:szCs w:val="20"/>
              </w:rPr>
              <w:t xml:space="preserve">de Blasio (2014-21)</w:t>
            </w:r>
          </w:p>
        </w:tc>
        <w:tc>
          <w:tcPr>
            <w:tcW w:type="dxa" w:w="3120"/>
            <w:tcBorders>
              <w:top w:val="single" w:color="CBD5E1" w:sz="1"/>
              <w:left w:val="single" w:color="CBD5E1" w:sz="1"/>
              <w:bottom w:val="single" w:color="CBD5E1" w:sz="1"/>
              <w:right w:val="single" w:color="CBD5E1" w:sz="1"/>
            </w:tcBorders>
            <w:shd w:fill="FEF3C7" w:val="clear"/>
            <w:tcMar>
              <w:top w:type="dxa" w:w="60"/>
              <w:left w:type="dxa" w:w="100"/>
              <w:bottom w:type="dxa" w:w="60"/>
              <w:right w:type="dxa" w:w="100"/>
            </w:tcMar>
          </w:tcPr>
          <w:p>
            <w:pPr>
              <w:jc w:val="left"/>
            </w:pPr>
            <w:r>
              <w:rPr>
                <w:rFonts w:ascii="Arial" w:cs="Arial" w:eastAsia="Arial" w:hAnsi="Arial"/>
                <w:color w:val="1E293B"/>
                <w:sz w:val="20"/>
                <w:szCs w:val="20"/>
              </w:rPr>
              <w:t xml:space="preserve">6,913</w:t>
            </w:r>
          </w:p>
        </w:tc>
        <w:tc>
          <w:tcPr>
            <w:tcW w:type="dxa" w:w="3120"/>
            <w:tcBorders>
              <w:top w:val="single" w:color="CBD5E1" w:sz="1"/>
              <w:left w:val="single" w:color="CBD5E1" w:sz="1"/>
              <w:bottom w:val="single" w:color="CBD5E1" w:sz="1"/>
              <w:right w:val="single" w:color="CBD5E1" w:sz="1"/>
            </w:tcBorders>
            <w:shd w:fill="FEF3C7" w:val="clear"/>
            <w:tcMar>
              <w:top w:type="dxa" w:w="60"/>
              <w:left w:type="dxa" w:w="100"/>
              <w:bottom w:type="dxa" w:w="60"/>
              <w:right w:type="dxa" w:w="100"/>
            </w:tcMar>
          </w:tcPr>
          <w:p>
            <w:pPr>
              <w:jc w:val="left"/>
            </w:pPr>
            <w:r>
              <w:rPr>
                <w:rFonts w:ascii="Arial" w:cs="Arial" w:eastAsia="Arial" w:hAnsi="Arial"/>
                <w:color w:val="1E293B"/>
                <w:sz w:val="20"/>
                <w:szCs w:val="20"/>
              </w:rPr>
              <w:t xml:space="preserve">10,034</w:t>
            </w:r>
          </w:p>
        </w:tc>
      </w:tr>
      <w:tr>
        <w:tc>
          <w:tcPr>
            <w:tcW w:type="dxa" w:w="3120"/>
            <w:tcBorders>
              <w:top w:val="single" w:color="CBD5E1" w:sz="1"/>
              <w:left w:val="single" w:color="CBD5E1" w:sz="1"/>
              <w:bottom w:val="single" w:color="CBD5E1" w:sz="1"/>
              <w:right w:val="single" w:color="CBD5E1" w:sz="1"/>
            </w:tcBorders>
            <w:shd w:fill="F3E8FF" w:val="clear"/>
            <w:tcMar>
              <w:top w:type="dxa" w:w="60"/>
              <w:left w:type="dxa" w:w="100"/>
              <w:bottom w:type="dxa" w:w="60"/>
              <w:right w:type="dxa" w:w="100"/>
            </w:tcMar>
          </w:tcPr>
          <w:p>
            <w:pPr>
              <w:jc w:val="left"/>
            </w:pPr>
            <w:r>
              <w:rPr>
                <w:rFonts w:ascii="Arial" w:cs="Arial" w:eastAsia="Arial" w:hAnsi="Arial"/>
                <w:color w:val="1E293B"/>
                <w:sz w:val="20"/>
                <w:szCs w:val="20"/>
              </w:rPr>
              <w:t xml:space="preserve">Adams (2022-26)</w:t>
            </w:r>
          </w:p>
        </w:tc>
        <w:tc>
          <w:tcPr>
            <w:tcW w:type="dxa" w:w="3120"/>
            <w:tcBorders>
              <w:top w:val="single" w:color="CBD5E1" w:sz="1"/>
              <w:left w:val="single" w:color="CBD5E1" w:sz="1"/>
              <w:bottom w:val="single" w:color="CBD5E1" w:sz="1"/>
              <w:right w:val="single" w:color="CBD5E1" w:sz="1"/>
            </w:tcBorders>
            <w:shd w:fill="F3E8FF" w:val="clear"/>
            <w:tcMar>
              <w:top w:type="dxa" w:w="60"/>
              <w:left w:type="dxa" w:w="100"/>
              <w:bottom w:type="dxa" w:w="60"/>
              <w:right w:type="dxa" w:w="100"/>
            </w:tcMar>
          </w:tcPr>
          <w:p>
            <w:pPr>
              <w:jc w:val="left"/>
            </w:pPr>
            <w:r>
              <w:rPr>
                <w:rFonts w:ascii="Arial" w:cs="Arial" w:eastAsia="Arial" w:hAnsi="Arial"/>
                <w:b/>
                <w:bCs/>
                <w:color w:val="DC2626"/>
                <w:sz w:val="20"/>
                <w:szCs w:val="20"/>
              </w:rPr>
              <w:t xml:space="preserve">11,113</w:t>
            </w:r>
          </w:p>
        </w:tc>
        <w:tc>
          <w:tcPr>
            <w:tcW w:type="dxa" w:w="3120"/>
            <w:tcBorders>
              <w:top w:val="single" w:color="CBD5E1" w:sz="1"/>
              <w:left w:val="single" w:color="CBD5E1" w:sz="1"/>
              <w:bottom w:val="single" w:color="CBD5E1" w:sz="1"/>
              <w:right w:val="single" w:color="CBD5E1" w:sz="1"/>
            </w:tcBorders>
            <w:shd w:fill="F3E8FF" w:val="clear"/>
            <w:tcMar>
              <w:top w:type="dxa" w:w="60"/>
              <w:left w:type="dxa" w:w="100"/>
              <w:bottom w:type="dxa" w:w="60"/>
              <w:right w:type="dxa" w:w="100"/>
            </w:tcMar>
          </w:tcPr>
          <w:p>
            <w:pPr>
              <w:jc w:val="left"/>
            </w:pPr>
            <w:r>
              <w:rPr>
                <w:rFonts w:ascii="Arial" w:cs="Arial" w:eastAsia="Arial" w:hAnsi="Arial"/>
                <w:b/>
                <w:bCs/>
                <w:color w:val="DC2626"/>
                <w:sz w:val="20"/>
                <w:szCs w:val="20"/>
              </w:rPr>
              <w:t xml:space="preserve">24,079</w:t>
            </w:r>
          </w:p>
        </w:tc>
      </w:tr>
    </w:tbl>
    <w:p>
      <w:r>
        <w:br w:type="page"/>
      </w:r>
    </w:p>
    <w:p>
      <w:pPr>
        <w:pStyle w:val="Heading1"/>
        <w:spacing w:before="360" w:after="200"/>
      </w:pPr>
      <w:r>
        <w:rPr>
          <w:rFonts w:ascii="Arial" w:cs="Arial" w:eastAsia="Arial" w:hAnsi="Arial"/>
          <w:b/>
          <w:bCs/>
          <w:color w:val="1A2744"/>
          <w:sz w:val="36"/>
          <w:szCs w:val="36"/>
        </w:rPr>
        <w:t xml:space="preserve">Census Data &amp; Equity Analysis</w:t>
      </w:r>
    </w:p>
    <w:p>
      <w:pPr>
        <w:spacing w:after="120" w:before="0"/>
        <w:jc w:val="left"/>
      </w:pPr>
      <w:r>
        <w:rPr>
          <w:rFonts w:ascii="Arial" w:cs="Arial" w:eastAsia="Arial" w:hAnsi="Arial"/>
          <w:color w:val="1E293B"/>
          <w:sz w:val="24"/>
          <w:szCs w:val="24"/>
        </w:rPr>
        <w:t xml:space="preserve">ACS 5-Year Estimates (2023) provide socioeconomic context for snow vulnerability across the five boroughs.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1400"/>
        <w:gridCol w:w="1400"/>
        <w:gridCol w:w="1400"/>
        <w:gridCol w:w="1400"/>
        <w:gridCol w:w="1400"/>
      </w:tblGrid>
      <w:tr>
        <w:tc>
          <w:tcPr>
            <w:tcW w:type="dxa" w:w="236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Indicator</w:t>
            </w:r>
          </w:p>
        </w:tc>
        <w:tc>
          <w:tcPr>
            <w:tcW w:type="dxa" w:w="14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Bronx</w:t>
            </w:r>
          </w:p>
        </w:tc>
        <w:tc>
          <w:tcPr>
            <w:tcW w:type="dxa" w:w="14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Brooklyn</w:t>
            </w:r>
          </w:p>
        </w:tc>
        <w:tc>
          <w:tcPr>
            <w:tcW w:type="dxa" w:w="14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Manhattan</w:t>
            </w:r>
          </w:p>
        </w:tc>
        <w:tc>
          <w:tcPr>
            <w:tcW w:type="dxa" w:w="14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Queens</w:t>
            </w:r>
          </w:p>
        </w:tc>
        <w:tc>
          <w:tcPr>
            <w:tcW w:type="dxa" w:w="140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Staten Is.</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Median HH Income</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$43,726</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$67,572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$93,651</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$73,648</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$87,430</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Poverty Rate</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27.3%</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18.9%</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15.2%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12.1%</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10.8%</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Population 65+</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12.8%</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13.9%</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16.7%</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15.2%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17.1%</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Drive Alone to Work</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24.8%</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22.1%</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8.9%</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42.3%</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77.5%</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Public Transit</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55.2%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56.8%</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56.1%</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40.2%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15.3%</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Owner-Occupied</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19.4%</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29.7%</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23.1%</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43.9%</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69.6%</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Limited English</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18.2%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14.8%</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11.3%</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22.7%</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8.4%</w:t>
            </w:r>
          </w:p>
        </w:tc>
      </w:tr>
      <w:tr>
        <w:tc>
          <w:tcPr>
            <w:tcW w:type="dxa" w:w="236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b/>
                <w:bCs/>
                <w:color w:val="1E293B"/>
                <w:sz w:val="20"/>
                <w:szCs w:val="20"/>
              </w:rPr>
              <w:t xml:space="preserve">No Vehicle HH</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58.2%</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55.3%</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76.1%</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36.8%</w:t>
            </w:r>
          </w:p>
        </w:tc>
        <w:tc>
          <w:tcPr>
            <w:tcW w:type="dxa" w:w="14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14.2%</w:t>
            </w:r>
          </w:p>
        </w:tc>
      </w:tr>
    </w:tbl>
    <w:p>
      <w:pPr>
        <w:pStyle w:val="Heading2"/>
        <w:spacing w:before="240" w:after="160"/>
      </w:pPr>
      <w:r>
        <w:rPr>
          <w:rFonts w:ascii="Arial" w:cs="Arial" w:eastAsia="Arial" w:hAnsi="Arial"/>
          <w:b/>
          <w:bCs/>
          <w:color w:val="2563EB"/>
          <w:sz w:val="28"/>
          <w:szCs w:val="28"/>
        </w:rPr>
        <w:t xml:space="preserve">Vulnerability-Complaint Nexus</w:t>
      </w:r>
    </w:p>
    <w:p>
      <w:pPr>
        <w:pBdr>
          <w:left w:val="single" w:color="92400E" w:sz="12" w:space="8"/>
        </w:pBdr>
        <w:shd w:fill="FEF3C7" w:val="clear"/>
        <w:spacing w:before="120" w:after="120"/>
      </w:pPr>
      <w:r>
        <w:rPr>
          <w:rFonts w:ascii="Arial" w:cs="Arial" w:eastAsia="Arial" w:hAnsi="Arial"/>
          <w:b/>
          <w:bCs/>
          <w:color w:val="92400E"/>
          <w:sz w:val="22"/>
          <w:szCs w:val="22"/>
        </w:rPr>
        <w:t xml:space="preserve">Inequity Pattern: </w:t>
      </w:r>
      <w:r>
        <w:rPr>
          <w:rFonts w:ascii="Arial" w:cs="Arial" w:eastAsia="Arial" w:hAnsi="Arial"/>
          <w:color w:val="92400E"/>
          <w:sz w:val="22"/>
          <w:szCs w:val="22"/>
        </w:rPr>
        <w:t xml:space="preserve">The Bronx has the highest poverty rate (27.3%) AND lowest per-capita complaint rate. This does not mean fewer snow problems. Research consistently shows lower-income communities underutilize 311 due to digital access barriers, language barriers, and lower expectations of municipal responsiveness. The Bronx’s low complaint rate likely masks greater need.</w:t>
      </w:r>
    </w:p>
    <w:p>
      <w:pPr>
        <w:pBdr>
          <w:left w:val="single" w:color="92400E" w:sz="12" w:space="8"/>
        </w:pBdr>
        <w:shd w:fill="FEF3C7" w:val="clear"/>
        <w:spacing w:before="120" w:after="120"/>
      </w:pPr>
      <w:r>
        <w:rPr>
          <w:rFonts w:ascii="Arial" w:cs="Arial" w:eastAsia="Arial" w:hAnsi="Arial"/>
          <w:b/>
          <w:bCs/>
          <w:color w:val="92400E"/>
          <w:sz w:val="22"/>
          <w:szCs w:val="22"/>
        </w:rPr>
        <w:t xml:space="preserve">Transportation Vulnerability: </w:t>
      </w:r>
      <w:r>
        <w:rPr>
          <w:rFonts w:ascii="Arial" w:cs="Arial" w:eastAsia="Arial" w:hAnsi="Arial"/>
          <w:color w:val="92400E"/>
          <w:sz w:val="22"/>
          <w:szCs w:val="22"/>
        </w:rPr>
        <w:t xml:space="preserve">Staten Island (77.5% drive alone) and Queens (42.3%) are most dependent on cleared roads. When plowing lags, these boroughs face disproportionate economic impact — missed work, delayed healthcare access, and supply disruptions.</w:t>
      </w:r>
    </w:p>
    <w:p>
      <w:pPr>
        <w:pBdr>
          <w:left w:val="single" w:color="991B1B" w:sz="12" w:space="8"/>
        </w:pBdr>
        <w:shd w:fill="FEE2E2" w:val="clear"/>
        <w:spacing w:before="120" w:after="120"/>
      </w:pPr>
      <w:r>
        <w:rPr>
          <w:rFonts w:ascii="Arial" w:cs="Arial" w:eastAsia="Arial" w:hAnsi="Arial"/>
          <w:b/>
          <w:bCs/>
          <w:color w:val="991B1B"/>
          <w:sz w:val="22"/>
          <w:szCs w:val="22"/>
        </w:rPr>
        <w:t xml:space="preserve">Elderly Exposure: </w:t>
      </w:r>
      <w:r>
        <w:rPr>
          <w:rFonts w:ascii="Arial" w:cs="Arial" w:eastAsia="Arial" w:hAnsi="Arial"/>
          <w:color w:val="991B1B"/>
          <w:sz w:val="22"/>
          <w:szCs w:val="22"/>
        </w:rPr>
        <w:t xml:space="preserve">Staten Island (17.1% age 65+) and Manhattan (16.7%) have the highest elderly populations. Icy sidewalks are a leading cause of fall-related injuries among seniors. Manhattan’s dense sidewalk network and building superintendent system provide some mitigation; Staten Island’s single-family geography does not.</w:t>
      </w:r>
    </w:p>
    <w:p>
      <w:r>
        <w:br w:type="page"/>
      </w:r>
    </w:p>
    <w:p>
      <w:pPr>
        <w:pStyle w:val="Heading1"/>
        <w:spacing w:before="360" w:after="200"/>
      </w:pPr>
      <w:r>
        <w:rPr>
          <w:rFonts w:ascii="Arial" w:cs="Arial" w:eastAsia="Arial" w:hAnsi="Arial"/>
          <w:b/>
          <w:bCs/>
          <w:color w:val="1A2744"/>
          <w:sz w:val="36"/>
          <w:szCs w:val="36"/>
        </w:rPr>
        <w:t xml:space="preserve">Housing Development Context</w:t>
      </w:r>
    </w:p>
    <w:p>
      <w:pPr>
        <w:spacing w:after="120" w:before="0"/>
        <w:jc w:val="left"/>
      </w:pPr>
      <w:r>
        <w:rPr>
          <w:rFonts w:ascii="Arial" w:cs="Arial" w:eastAsia="Arial" w:hAnsi="Arial"/>
          <w:color w:val="1E293B"/>
          <w:sz w:val="24"/>
          <w:szCs w:val="24"/>
        </w:rPr>
        <w:t xml:space="preserve">NYC Housing Database (106,358 post-2010 projects) provides context on building stock and snow vulnerability.</w:t>
      </w:r>
    </w:p>
    <w:p>
      <w:pPr>
        <w:pStyle w:val="Heading2"/>
        <w:spacing w:before="240" w:after="160"/>
      </w:pPr>
      <w:r>
        <w:rPr>
          <w:rFonts w:ascii="Arial" w:cs="Arial" w:eastAsia="Arial" w:hAnsi="Arial"/>
          <w:b/>
          <w:bCs/>
          <w:color w:val="2563EB"/>
          <w:sz w:val="28"/>
          <w:szCs w:val="28"/>
        </w:rPr>
        <w:t xml:space="preserve">Development by Borough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Borough</w:t>
            </w:r>
          </w:p>
        </w:tc>
        <w:tc>
          <w:tcPr>
            <w:tcW w:type="dxa" w:w="234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Total Jobs</w:t>
            </w:r>
          </w:p>
        </w:tc>
        <w:tc>
          <w:tcPr>
            <w:tcW w:type="dxa" w:w="234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Share</w:t>
            </w:r>
          </w:p>
        </w:tc>
        <w:tc>
          <w:tcPr>
            <w:tcW w:type="dxa" w:w="2340"/>
            <w:tcBorders>
              <w:top w:val="single" w:color="CBD5E1" w:sz="1"/>
              <w:left w:val="single" w:color="CBD5E1" w:sz="1"/>
              <w:bottom w:val="single" w:color="CBD5E1" w:sz="1"/>
              <w:right w:val="single" w:color="CBD5E1" w:sz="1"/>
            </w:tcBorders>
            <w:shd w:fill="1A2744" w:val="clear"/>
            <w:tcMar>
              <w:top w:type="dxa" w:w="60"/>
              <w:left w:type="dxa" w:w="100"/>
              <w:bottom w:type="dxa" w:w="60"/>
              <w:right w:type="dxa" w:w="100"/>
            </w:tcMar>
          </w:tcPr>
          <w:p>
            <w:pPr>
              <w:jc w:val="left"/>
            </w:pPr>
            <w:r>
              <w:rPr>
                <w:rFonts w:ascii="Arial" w:cs="Arial" w:eastAsia="Arial" w:hAnsi="Arial"/>
                <w:b/>
                <w:bCs/>
                <w:color w:val="FFFFFF"/>
                <w:sz w:val="20"/>
                <w:szCs w:val="20"/>
              </w:rPr>
              <w:t xml:space="preserve">Primary Type</w:t>
            </w:r>
          </w:p>
        </w:tc>
      </w:tr>
      <w:tr>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Brooklyn</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35,295</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33.2%</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Alteration (56.5%)</w:t>
            </w:r>
          </w:p>
        </w:tc>
      </w:tr>
      <w:tr>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Queens</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35,202</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33.1%</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New Building (31.5%)</w:t>
            </w:r>
          </w:p>
        </w:tc>
      </w:tr>
      <w:tr>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Staten Island</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13,936</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13.1%</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Demolition (12.0%)</w:t>
            </w:r>
          </w:p>
        </w:tc>
      </w:tr>
      <w:tr>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Manhattan</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12,362</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11.6%</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
            </w:r>
          </w:p>
        </w:tc>
      </w:tr>
      <w:tr>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Bronx</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9,563</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9.0%</w:t>
            </w:r>
          </w:p>
        </w:tc>
        <w:tc>
          <w:tcPr>
            <w:tcW w:type="dxa" w:w="234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left"/>
            </w:pPr>
            <w:r>
              <w:rPr>
                <w:rFonts w:ascii="Arial" w:cs="Arial" w:eastAsia="Arial" w:hAnsi="Arial"/>
                <w:color w:val="1E293B"/>
                <w:sz w:val="20"/>
                <w:szCs w:val="20"/>
              </w:rPr>
              <w:t xml:space="preserve"/>
            </w:r>
          </w:p>
        </w:tc>
      </w:tr>
    </w:tbl>
    <w:p>
      <w:pPr>
        <w:spacing w:after="120" w:before="0"/>
        <w:jc w:val="left"/>
      </w:pPr>
      <w:r>
        <w:rPr>
          <w:rFonts w:ascii="Arial" w:cs="Arial" w:eastAsia="Arial" w:hAnsi="Arial"/>
          <w:color w:val="1E293B"/>
          <w:sz w:val="24"/>
          <w:szCs w:val="24"/>
        </w:rPr>
        <w:t xml:space="preserve">Ownership: 53.3% private individual, 26.4% corporate, 13.7% partnership. Only 3.4% government-owned, highlighting the challenge of mandating private property snow clearance.</w:t>
      </w:r>
    </w:p>
    <w:p>
      <w:pPr>
        <w:pBdr>
          <w:left w:val="single" w:color="92400E" w:sz="12" w:space="8"/>
        </w:pBdr>
        <w:shd w:fill="FEF3C7" w:val="clear"/>
        <w:spacing w:before="120" w:after="120"/>
      </w:pPr>
      <w:r>
        <w:rPr>
          <w:rFonts w:ascii="Arial" w:cs="Arial" w:eastAsia="Arial" w:hAnsi="Arial"/>
          <w:b/>
          <w:bCs/>
          <w:color w:val="92400E"/>
          <w:sz w:val="22"/>
          <w:szCs w:val="22"/>
        </w:rPr>
        <w:t xml:space="preserve">Development Pressure: </w:t>
      </w:r>
      <w:r>
        <w:rPr>
          <w:rFonts w:ascii="Arial" w:cs="Arial" w:eastAsia="Arial" w:hAnsi="Arial"/>
          <w:color w:val="92400E"/>
          <w:sz w:val="22"/>
          <w:szCs w:val="22"/>
        </w:rPr>
        <w:t xml:space="preserve">Brooklyn and Queens together account for 66% of all post-2010 housing development. This rapid growth adds population, road surface, and sidewalk area that DSNY must service during snow events — without proportional increases in snow removal capacity.</w:t>
      </w:r>
    </w:p>
    <w:p>
      <w:r>
        <w:br w:type="page"/>
      </w:r>
    </w:p>
    <w:p>
      <w:pPr>
        <w:pStyle w:val="Heading1"/>
        <w:spacing w:before="360" w:after="200"/>
      </w:pPr>
      <w:r>
        <w:rPr>
          <w:rFonts w:ascii="Arial" w:cs="Arial" w:eastAsia="Arial" w:hAnsi="Arial"/>
          <w:b/>
          <w:bCs/>
          <w:color w:val="1A2744"/>
          <w:sz w:val="36"/>
          <w:szCs w:val="36"/>
        </w:rPr>
        <w:t xml:space="preserve">Recommendations for the Current Administration</w:t>
      </w:r>
    </w:p>
    <w:p>
      <w:pPr>
        <w:pStyle w:val="Heading2"/>
        <w:spacing w:before="240" w:after="160"/>
      </w:pPr>
      <w:r>
        <w:rPr>
          <w:rFonts w:ascii="Arial" w:cs="Arial" w:eastAsia="Arial" w:hAnsi="Arial"/>
          <w:b/>
          <w:bCs/>
          <w:color w:val="2563EB"/>
          <w:sz w:val="28"/>
          <w:szCs w:val="28"/>
        </w:rPr>
        <w:t xml:space="preserve">1. Immediate Operational Improvements</w:t>
      </w:r>
    </w:p>
    <w:p>
      <w:pPr>
        <w:pBdr>
          <w:left w:val="single" w:color="991B1B" w:sz="12" w:space="8"/>
        </w:pBdr>
        <w:shd w:fill="FEE2E2" w:val="clear"/>
        <w:spacing w:before="120" w:after="120"/>
      </w:pPr>
      <w:r>
        <w:rPr>
          <w:rFonts w:ascii="Arial" w:cs="Arial" w:eastAsia="Arial" w:hAnsi="Arial"/>
          <w:b/>
          <w:bCs/>
          <w:color w:val="991B1B"/>
          <w:sz w:val="22"/>
          <w:szCs w:val="22"/>
        </w:rPr>
        <w:t xml:space="preserve">Priority: </w:t>
      </w:r>
      <w:r>
        <w:rPr>
          <w:rFonts w:ascii="Arial" w:cs="Arial" w:eastAsia="Arial" w:hAnsi="Arial"/>
          <w:color w:val="991B1B"/>
          <w:sz w:val="22"/>
          <w:szCs w:val="22"/>
        </w:rPr>
        <w:t xml:space="preserve">Address the 2025-26 complaint surge. Conduct a rapid after-action review of January 2026 operations. Identify specific route/neighborhood failures using 311 geolocation data. Deploy targeted supplemental plowing to chronically underserved areas.</w:t>
      </w:r>
    </w:p>
    <w:p>
      <w:pPr>
        <w:pStyle w:val="Heading2"/>
        <w:spacing w:before="240" w:after="160"/>
      </w:pPr>
      <w:r>
        <w:rPr>
          <w:rFonts w:ascii="Arial" w:cs="Arial" w:eastAsia="Arial" w:hAnsi="Arial"/>
          <w:b/>
          <w:bCs/>
          <w:color w:val="2563EB"/>
          <w:sz w:val="28"/>
          <w:szCs w:val="28"/>
        </w:rPr>
        <w:t xml:space="preserve">2. Equity-Informed Resource Allocation</w:t>
      </w:r>
    </w:p>
    <w:p>
      <w:pPr>
        <w:spacing w:after="120" w:before="0"/>
        <w:jc w:val="left"/>
      </w:pPr>
      <w:r>
        <w:rPr>
          <w:rFonts w:ascii="Arial" w:cs="Arial" w:eastAsia="Arial" w:hAnsi="Arial"/>
          <w:color w:val="1E293B"/>
          <w:sz w:val="24"/>
          <w:szCs w:val="24"/>
        </w:rPr>
        <w:t xml:space="preserve">Current complaint-driven resource deployment perpetuates inequity. The Bronx’s low complaint rate should not be interpreted as low need. Implement a weighted allocation model incorporating poverty rate, elderly population share, limited English proficiency, and hospital/emergency facility proximity alongside complaint data.</w:t>
      </w:r>
    </w:p>
    <w:p>
      <w:pPr>
        <w:pStyle w:val="Heading2"/>
        <w:spacing w:before="240" w:after="160"/>
      </w:pPr>
      <w:r>
        <w:rPr>
          <w:rFonts w:ascii="Arial" w:cs="Arial" w:eastAsia="Arial" w:hAnsi="Arial"/>
          <w:b/>
          <w:bCs/>
          <w:color w:val="2563EB"/>
          <w:sz w:val="28"/>
          <w:szCs w:val="28"/>
        </w:rPr>
        <w:t xml:space="preserve">3. Outer Borough Strategy</w:t>
      </w:r>
    </w:p>
    <w:p>
      <w:pPr>
        <w:spacing w:after="120" w:before="0"/>
        <w:jc w:val="left"/>
      </w:pPr>
      <w:r>
        <w:rPr>
          <w:rFonts w:ascii="Arial" w:cs="Arial" w:eastAsia="Arial" w:hAnsi="Arial"/>
          <w:color w:val="1E293B"/>
          <w:sz w:val="24"/>
          <w:szCs w:val="24"/>
        </w:rPr>
        <w:t xml:space="preserve">Staten Island’s per-capita complaint rate is 4.3x Manhattan’s. Given its car-dependent transportation network (77.5% drive alone), consider: dedicated DSNY sub-depot capacity, pre-storm brine treatment priority for arterial roads, and enhanced coordination with private snow removal contractors for residential streets.</w:t>
      </w:r>
    </w:p>
    <w:p>
      <w:pPr>
        <w:pStyle w:val="Heading2"/>
        <w:spacing w:before="240" w:after="160"/>
      </w:pPr>
      <w:r>
        <w:rPr>
          <w:rFonts w:ascii="Arial" w:cs="Arial" w:eastAsia="Arial" w:hAnsi="Arial"/>
          <w:b/>
          <w:bCs/>
          <w:color w:val="2563EB"/>
          <w:sz w:val="28"/>
          <w:szCs w:val="28"/>
        </w:rPr>
        <w:t xml:space="preserve">4. Predictive Capacity Planning</w:t>
      </w:r>
    </w:p>
    <w:p>
      <w:pPr>
        <w:spacing w:after="120" w:before="0"/>
        <w:jc w:val="left"/>
      </w:pPr>
      <w:r>
        <w:rPr>
          <w:rFonts w:ascii="Arial" w:cs="Arial" w:eastAsia="Arial" w:hAnsi="Arial"/>
          <w:color w:val="1E293B"/>
          <w:sz w:val="24"/>
          <w:szCs w:val="24"/>
        </w:rPr>
        <w:t xml:space="preserve">The data shows a clear correlation between storm severity and complaint volume, but the variance is what matters — similarly severe storms produce vastly different complaint volumes depending on preparation and timing. Invest in weather-to-operations translation tools that convert NWS forecasts directly into DSNY deployment plans with borough-level specificity.</w:t>
      </w:r>
    </w:p>
    <w:p>
      <w:pPr>
        <w:pStyle w:val="Heading2"/>
        <w:spacing w:before="240" w:after="160"/>
      </w:pPr>
      <w:r>
        <w:rPr>
          <w:rFonts w:ascii="Arial" w:cs="Arial" w:eastAsia="Arial" w:hAnsi="Arial"/>
          <w:b/>
          <w:bCs/>
          <w:color w:val="2563EB"/>
          <w:sz w:val="28"/>
          <w:szCs w:val="28"/>
        </w:rPr>
        <w:t xml:space="preserve">5. Housing Development Integration</w:t>
      </w:r>
    </w:p>
    <w:p>
      <w:pPr>
        <w:spacing w:after="120" w:before="0"/>
        <w:jc w:val="left"/>
      </w:pPr>
      <w:r>
        <w:rPr>
          <w:rFonts w:ascii="Arial" w:cs="Arial" w:eastAsia="Arial" w:hAnsi="Arial"/>
          <w:color w:val="1E293B"/>
          <w:sz w:val="24"/>
          <w:szCs w:val="24"/>
        </w:rPr>
        <w:t xml:space="preserve">With 33,000+ new buildings since 2010 (66% in Brooklyn/Queens), snow removal route planning must continuously integrate new development data. Mandate that major development approvals include snow infrastructure assessments for surrounding streets and sidewalks.</w:t>
      </w:r>
    </w:p>
    <w:p>
      <w:pPr>
        <w:pStyle w:val="Heading2"/>
        <w:spacing w:before="240" w:after="160"/>
      </w:pPr>
      <w:r>
        <w:rPr>
          <w:rFonts w:ascii="Arial" w:cs="Arial" w:eastAsia="Arial" w:hAnsi="Arial"/>
          <w:b/>
          <w:bCs/>
          <w:color w:val="2563EB"/>
          <w:sz w:val="28"/>
          <w:szCs w:val="28"/>
        </w:rPr>
        <w:t xml:space="preserve">6. 311 Accessibility Expansion</w:t>
      </w:r>
    </w:p>
    <w:p>
      <w:pPr>
        <w:spacing w:after="120" w:before="0"/>
        <w:jc w:val="left"/>
      </w:pPr>
      <w:r>
        <w:rPr>
          <w:rFonts w:ascii="Arial" w:cs="Arial" w:eastAsia="Arial" w:hAnsi="Arial"/>
          <w:color w:val="1E293B"/>
          <w:sz w:val="24"/>
          <w:szCs w:val="24"/>
        </w:rPr>
        <w:t xml:space="preserve">Queens has the highest limited-English-proficiency rate at 22.7%. Expand multilingual 311 snow reporting (particularly in Chinese, Spanish, Korean, and Bengali) and deploy community-based reporting partnerships in underserved neighborhoods to close the complaint gap that masks unmet need.</w:t>
      </w:r>
    </w:p>
    <w:p>
      <w:r>
        <w:br w:type="page"/>
      </w:r>
    </w:p>
    <w:p>
      <w:pPr>
        <w:pBdr>
          <w:bottom w:val="single" w:color="CBD5E1" w:sz="2" w:space="4"/>
        </w:pBdr>
        <w:spacing w:after="120"/>
      </w:pPr>
      <w:r>
        <w:rPr>
          <w:rFonts w:ascii="Arial" w:cs="Arial" w:eastAsia="Arial" w:hAnsi="Arial"/>
          <w:b/>
          <w:bCs/>
          <w:color w:val="475569"/>
          <w:sz w:val="22"/>
          <w:szCs w:val="22"/>
        </w:rPr>
        <w:t xml:space="preserve">AI-Generated Analysis Disclaimer</w:t>
      </w:r>
    </w:p>
    <w:p>
      <w:pPr>
        <w:spacing w:after="120" w:before="0"/>
        <w:jc w:val="left"/>
      </w:pPr>
      <w:r>
        <w:rPr>
          <w:rFonts w:ascii="Arial" w:cs="Arial" w:eastAsia="Arial" w:hAnsi="Arial"/>
          <w:color w:val="475569"/>
          <w:sz w:val="20"/>
          <w:szCs w:val="20"/>
        </w:rPr>
        <w:t xml:space="preserve">This report was generated with AI assistance using Claude (Anthropic). While the underlying data comes from authoritative sources (NYC Open Data, US Census Bureau, NOAA/NWS, Open-Meteo), the analysis, interpretations, and recommendations reflect AI-synthesized insights and should be validated by domain experts before informing policy decisions. Complaint volumes are approximate aggregations from the 311 dataset. News coverage grades are subjective assessments based on available reporting. Census data uses ACS 5-Year estimates which have margins of error.</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475569"/>
        <w:sz w:val="16"/>
        <w:szCs w:val="16"/>
      </w:rPr>
      <w:t xml:space="preserve">Prepared for the Office of the Mayor  |  Page </w:t>
    </w:r>
    <w:r>
      <w:rPr>
        <w:rFonts w:ascii="Arial" w:cs="Arial" w:eastAsia="Arial" w:hAnsi="Arial"/>
        <w:color w:val="47556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BD5E1" w:sz="1" w:space="4"/>
      </w:pBdr>
      <w:jc w:val="right"/>
    </w:pPr>
    <w:r>
      <w:rPr>
        <w:rFonts w:ascii="Arial" w:cs="Arial" w:eastAsia="Arial" w:hAnsi="Arial"/>
        <w:color w:val="475569"/>
        <w:sz w:val="18"/>
        <w:szCs w:val="18"/>
      </w:rPr>
      <w:t xml:space="preserve">NYC Snow Response Analysis 2010–2026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2744"/>
      <w:sz w:val="36"/>
      <w:szCs w:val="36"/>
    </w:rPr>
  </w:style>
  <w:style w:type="paragraph" w:styleId="Heading2">
    <w:name w:val="Heading 2"/>
    <w:basedOn w:val="Normal"/>
    <w:next w:val="Normal"/>
    <w:qFormat/>
    <w:pPr>
      <w:spacing w:before="240" w:after="160"/>
      <w:outlineLvl w:val="1"/>
    </w:pPr>
    <w:rPr>
      <w:rFonts w:ascii="Arial" w:cs="Arial" w:eastAsia="Arial" w:hAnsi="Arial"/>
      <w:b/>
      <w:bCs/>
      <w:color w:val="2563EB"/>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2026-02-23T15:26:37.074Z</dcterms:created>
  <dcterms:modified xsi:type="dcterms:W3CDTF">2026-02-23T15:26:37.074Z</dcterms:modified>
</cp:coreProperties>
</file>

<file path=docProps/custom.xml><?xml version="1.0" encoding="utf-8"?>
<Properties xmlns="http://schemas.openxmlformats.org/officeDocument/2006/custom-properties" xmlns:vt="http://schemas.openxmlformats.org/officeDocument/2006/docPropsVTypes"/>
</file>